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center"/>
        <w:outlineLvl w:val="0"/>
        <w:rPr>
          <w:rFonts w:ascii="黑体" w:hAnsi="黑体" w:eastAsia="黑体" w:cs="黑体"/>
          <w:b/>
          <w:color w:val="auto"/>
          <w:kern w:val="2"/>
          <w:sz w:val="36"/>
          <w:szCs w:val="36"/>
        </w:rPr>
      </w:pPr>
      <w:r>
        <w:rPr>
          <w:rFonts w:hint="eastAsia" w:ascii="黑体" w:hAnsi="黑体" w:eastAsia="黑体" w:cs="黑体"/>
          <w:b/>
          <w:color w:val="auto"/>
          <w:kern w:val="2"/>
          <w:sz w:val="36"/>
          <w:szCs w:val="36"/>
        </w:rPr>
        <w:t>医学院课外育人工作考核办法实施细则</w:t>
      </w:r>
    </w:p>
    <w:p>
      <w:pPr>
        <w:pStyle w:val="35"/>
        <w:jc w:val="center"/>
        <w:rPr>
          <w:rFonts w:ascii="仿宋" w:hAnsi="仿宋" w:eastAsia="仿宋" w:cs="仿宋"/>
          <w:sz w:val="28"/>
          <w:szCs w:val="28"/>
        </w:rPr>
      </w:pPr>
      <w:r>
        <w:rPr>
          <w:rFonts w:hint="eastAsia" w:ascii="仿宋" w:hAnsi="仿宋" w:eastAsia="仿宋" w:cs="仿宋"/>
          <w:sz w:val="28"/>
          <w:szCs w:val="28"/>
        </w:rPr>
        <w:t>（试  行）</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为进一步贯彻落实全国、全省高校思想政治工作会议精神，强化教师在育人工作中的职责和任务，形成“全员育人、全过程育人、全方位育人”的工作格局，现结合</w:t>
      </w:r>
      <w:r>
        <w:rPr>
          <w:rFonts w:hint="eastAsia" w:ascii="仿宋_GB2312" w:hAnsi="仿宋_GB2312" w:eastAsia="仿宋_GB2312" w:cs="仿宋_GB2312"/>
          <w:color w:val="000000"/>
          <w:sz w:val="32"/>
          <w:szCs w:val="32"/>
          <w:lang w:bidi="ar"/>
        </w:rPr>
        <w:t>《杭州师范大学教师课外育人工作考核办法（试行）》及</w:t>
      </w:r>
      <w:r>
        <w:rPr>
          <w:rFonts w:ascii="仿宋_GB2312" w:hAnsi="仿宋_GB2312" w:eastAsia="仿宋_GB2312" w:cs="仿宋_GB2312"/>
          <w:color w:val="000000"/>
          <w:sz w:val="32"/>
          <w:szCs w:val="32"/>
          <w:lang w:bidi="ar"/>
        </w:rPr>
        <w:t>学院工作实际，特制定本办法。</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一、考核对象</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我</w:t>
      </w:r>
      <w:r>
        <w:rPr>
          <w:rFonts w:hint="eastAsia" w:ascii="仿宋_GB2312" w:hAnsi="仿宋_GB2312" w:eastAsia="仿宋_GB2312" w:cs="仿宋_GB2312"/>
          <w:color w:val="000000"/>
          <w:sz w:val="32"/>
          <w:szCs w:val="32"/>
          <w:lang w:bidi="ar"/>
        </w:rPr>
        <w:t>院</w:t>
      </w:r>
      <w:r>
        <w:rPr>
          <w:rFonts w:ascii="仿宋_GB2312" w:hAnsi="仿宋_GB2312" w:eastAsia="仿宋_GB2312" w:cs="仿宋_GB2312"/>
          <w:color w:val="000000"/>
          <w:sz w:val="32"/>
          <w:szCs w:val="32"/>
          <w:lang w:bidi="ar"/>
        </w:rPr>
        <w:t>在编在岗的全体专任教师、一线专职辅导员和科研人员。</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二、考核内容</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本办法所指的课外育人工作是为了实现育人目标，教师在第一课堂课程育人外，承担一定形式的工作，对全日制学生进行的教育教学活动。内容包括：</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（一）学生班主任；</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（二）兼职辅导员；</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（三）本科学生综合导师；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（四）研究生导师；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（五）学生党支部书记；</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（六）学生社团指导教师；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（七）学生社会实践活动指导教师；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（八）学生竞赛活动指导教师；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（九）学生创新创业活动指导教师；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（十）党、团校培训或思政教育专题报告、沙龙等的主讲教师；</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（十一）学生非教学活动的评审或指导工作；</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（十二）学院根据实际需要设定的其他育人工作。</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三、等级设定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教师课外育人工作考核结果分优秀、合格、不合格三个等级，一线专职辅导员按比例单列考核。</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（一）优秀：年度考核育人工作量满 30分，指导学生获突出成绩，学生反响好。比例不超过考核总人数的 20%。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（二）合格：年度考核育人工作量满10 分，工作认真负责。承担公共课程或没有本科学生的学院（部）可根据实际情况适当减轻工作量要求。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（三）不合格：年度考核育人工作量未满 10分，或在育人工作中有不当言行，产生恶劣影响的。</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四、结果使用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结果纳入教师年度工作考核，并作为教师专业技术职务晋升和评奖评优的基本依据之一。申请专业技术职务晋升的教师，任现职以来育人工作考核至少有一次优秀；三年内育人工作考核有不合格的教师，原则上在职称晋升和评奖评优时“一票否决”。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（二）教师课外育人工作考核结果作为教师岗位聘任的基本依据之一，同等条件下，育人工作考核优秀的教师优先聘岗，对聘期内 2 次及以上考核不合格的教师，实行降档聘任。</w:t>
      </w:r>
    </w:p>
    <w:p>
      <w:pPr>
        <w:widowControl/>
        <w:spacing w:line="540" w:lineRule="exact"/>
        <w:jc w:val="left"/>
        <w:outlineLvl w:val="1"/>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 xml:space="preserve">五、组织实施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 xml:space="preserve">（一）教师课外育人工作考核与教师年度考核同时进行，结果纳入教师年度考核。 </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（二）学院成立教师课外育人工作考核小组，由学院党委书记任组长，党政办、学科办、教务科、学工办、</w:t>
      </w:r>
      <w:r>
        <w:rPr>
          <w:rFonts w:ascii="仿宋_GB2312" w:hAnsi="仿宋_GB2312" w:eastAsia="仿宋_GB2312" w:cs="仿宋_GB2312"/>
          <w:color w:val="000000"/>
          <w:sz w:val="32"/>
          <w:szCs w:val="32"/>
          <w:lang w:bidi="ar"/>
        </w:rPr>
        <w:t>团委</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工会</w:t>
      </w:r>
      <w:r>
        <w:rPr>
          <w:rFonts w:hint="eastAsia" w:ascii="仿宋_GB2312" w:hAnsi="仿宋_GB2312" w:eastAsia="仿宋_GB2312" w:cs="仿宋_GB2312"/>
          <w:color w:val="000000"/>
          <w:sz w:val="32"/>
          <w:szCs w:val="32"/>
          <w:lang w:bidi="ar"/>
        </w:rPr>
        <w:t xml:space="preserve">等部门主要负责人组成，办公室设在学工办，具体负责学院教师的育人工作考核。 </w:t>
      </w:r>
    </w:p>
    <w:p>
      <w:pPr>
        <w:pStyle w:val="4"/>
        <w:widowControl/>
        <w:snapToGrid w:val="0"/>
        <w:spacing w:before="0" w:beforeAutospacing="0" w:after="0" w:afterAutospacing="0" w:line="540" w:lineRule="exact"/>
        <w:ind w:firstLine="640" w:firstLineChars="200"/>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（三）本办法自发布之日起实施，由学工办负责解释。</w:t>
      </w:r>
    </w:p>
    <w:p>
      <w:pPr>
        <w:pStyle w:val="4"/>
        <w:widowControl/>
        <w:snapToGrid w:val="0"/>
        <w:spacing w:before="0" w:beforeAutospacing="0" w:after="0" w:afterAutospacing="0" w:line="540" w:lineRule="exact"/>
        <w:ind w:firstLine="640" w:firstLineChars="200"/>
        <w:rPr>
          <w:rFonts w:hint="eastAsia" w:ascii="仿宋_GB2312" w:hAnsi="仿宋_GB2312" w:eastAsia="仿宋_GB2312" w:cs="仿宋_GB2312"/>
          <w:color w:val="000000"/>
          <w:sz w:val="32"/>
          <w:szCs w:val="32"/>
          <w:lang w:bidi="ar"/>
        </w:rPr>
      </w:pPr>
    </w:p>
    <w:p>
      <w:pPr>
        <w:pStyle w:val="4"/>
        <w:widowControl/>
        <w:snapToGrid w:val="0"/>
        <w:spacing w:before="0" w:beforeAutospacing="0" w:after="0" w:afterAutospacing="0" w:line="540" w:lineRule="exact"/>
        <w:rPr>
          <w:rFonts w:hint="eastAsia" w:ascii="楷体" w:hAnsi="楷体" w:eastAsia="楷体" w:cs="仿宋_GB2312"/>
          <w:color w:val="000000"/>
          <w:sz w:val="32"/>
          <w:szCs w:val="32"/>
          <w:lang w:bidi="ar"/>
        </w:rPr>
      </w:pPr>
      <w:r>
        <w:rPr>
          <w:rFonts w:hint="eastAsia" w:ascii="楷体" w:hAnsi="楷体" w:eastAsia="楷体" w:cs="仿宋_GB2312"/>
          <w:color w:val="000000"/>
          <w:sz w:val="32"/>
          <w:szCs w:val="32"/>
          <w:lang w:bidi="ar"/>
        </w:rPr>
        <w:t>附件：医学院课外育人工作工作量计算及考核要求</w:t>
      </w:r>
    </w:p>
    <w:p>
      <w:pPr>
        <w:pStyle w:val="4"/>
        <w:widowControl/>
        <w:snapToGrid w:val="0"/>
        <w:spacing w:before="0" w:beforeAutospacing="0" w:after="0" w:afterAutospacing="0" w:line="540" w:lineRule="exact"/>
        <w:ind w:firstLine="640" w:firstLineChars="200"/>
        <w:rPr>
          <w:rFonts w:ascii="仿宋_GB2312" w:hAnsi="仿宋_GB2312" w:eastAsia="仿宋_GB2312" w:cs="仿宋_GB2312"/>
          <w:color w:val="000000"/>
          <w:sz w:val="32"/>
          <w:szCs w:val="32"/>
          <w:lang w:bidi="ar"/>
        </w:rPr>
      </w:pPr>
    </w:p>
    <w:p>
      <w:pPr>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中共杭州师范大学医学院委员会</w:t>
      </w:r>
    </w:p>
    <w:p>
      <w:pPr>
        <w:widowControl/>
        <w:wordWrap w:val="0"/>
        <w:spacing w:line="540" w:lineRule="exact"/>
        <w:ind w:firstLine="640" w:firstLineChars="200"/>
        <w:jc w:val="right"/>
        <w:rPr>
          <w:rFonts w:ascii="仿宋" w:hAnsi="仿宋" w:eastAsia="仿宋"/>
          <w:bCs/>
          <w:kern w:val="0"/>
          <w:sz w:val="32"/>
          <w:szCs w:val="32"/>
        </w:rPr>
      </w:pPr>
      <w:r>
        <w:rPr>
          <w:rFonts w:hint="eastAsia" w:ascii="仿宋" w:hAnsi="仿宋" w:eastAsia="仿宋"/>
          <w:bCs/>
          <w:kern w:val="0"/>
          <w:sz w:val="32"/>
          <w:szCs w:val="32"/>
        </w:rPr>
        <w:t xml:space="preserve">杭州师范大学医学院 </w:t>
      </w:r>
    </w:p>
    <w:p>
      <w:pPr>
        <w:widowControl/>
        <w:wordWrap w:val="0"/>
        <w:spacing w:line="540" w:lineRule="exact"/>
        <w:ind w:firstLine="640" w:firstLineChars="200"/>
        <w:jc w:val="right"/>
        <w:rPr>
          <w:rFonts w:ascii="黑体" w:hAnsi="黑体" w:eastAsia="黑体"/>
          <w:kern w:val="0"/>
          <w:sz w:val="32"/>
          <w:szCs w:val="32"/>
        </w:rPr>
      </w:pPr>
      <w:r>
        <w:rPr>
          <w:rFonts w:hint="eastAsia" w:ascii="仿宋" w:hAnsi="仿宋" w:eastAsia="仿宋"/>
          <w:bCs/>
          <w:kern w:val="0"/>
          <w:sz w:val="32"/>
          <w:szCs w:val="32"/>
        </w:rPr>
        <w:t xml:space="preserve">2019年9月 </w:t>
      </w:r>
    </w:p>
    <w:p>
      <w:pPr>
        <w:pStyle w:val="35"/>
        <w:spacing w:line="360" w:lineRule="auto"/>
        <w:rPr>
          <w:rFonts w:hint="eastAsia" w:ascii="黑体" w:eastAsia="黑体" w:cs="黑体"/>
          <w:color w:val="000000" w:themeColor="text1"/>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黑体" w:eastAsia="黑体" w:cs="黑体"/>
          <w:color w:val="000000" w:themeColor="text1"/>
          <w14:textFill>
            <w14:solidFill>
              <w14:schemeClr w14:val="tx1"/>
            </w14:solidFill>
          </w14:textFill>
        </w:rPr>
        <w:t xml:space="preserve"> </w:t>
      </w:r>
    </w:p>
    <w:p>
      <w:pPr>
        <w:pStyle w:val="35"/>
        <w:spacing w:line="360" w:lineRule="auto"/>
        <w:rPr>
          <w:rFonts w:hint="eastAsia" w:ascii="黑体" w:eastAsia="黑体" w:cs="黑体"/>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pPr>
        <w:spacing w:line="360" w:lineRule="auto"/>
        <w:jc w:val="left"/>
        <w:outlineLvl w:val="1"/>
        <w:rPr>
          <w:rFonts w:hint="eastAsia" w:ascii="仿宋" w:hAnsi="仿宋" w:eastAsia="仿宋"/>
          <w:b/>
          <w:sz w:val="32"/>
          <w:szCs w:val="31"/>
        </w:rPr>
      </w:pPr>
      <w:bookmarkStart w:id="0" w:name="_GoBack"/>
      <w:bookmarkEnd w:id="0"/>
      <w:r>
        <w:rPr>
          <w:rFonts w:hint="eastAsia" w:ascii="仿宋" w:hAnsi="仿宋" w:eastAsia="仿宋"/>
          <w:b/>
          <w:sz w:val="32"/>
          <w:szCs w:val="31"/>
        </w:rPr>
        <w:t>附件：</w:t>
      </w:r>
    </w:p>
    <w:p>
      <w:pPr>
        <w:spacing w:line="360" w:lineRule="auto"/>
        <w:jc w:val="center"/>
        <w:outlineLvl w:val="0"/>
        <w:rPr>
          <w:rFonts w:ascii="黑体" w:hAnsi="黑体" w:eastAsia="黑体"/>
          <w:b/>
          <w:sz w:val="36"/>
          <w:szCs w:val="31"/>
        </w:rPr>
      </w:pPr>
      <w:r>
        <w:rPr>
          <w:rFonts w:hint="eastAsia" w:ascii="黑体" w:hAnsi="黑体" w:eastAsia="黑体"/>
          <w:b/>
          <w:sz w:val="36"/>
          <w:szCs w:val="31"/>
        </w:rPr>
        <w:t>医学院课外育人工作</w:t>
      </w:r>
      <w:r>
        <w:rPr>
          <w:rFonts w:ascii="黑体" w:hAnsi="黑体" w:eastAsia="黑体"/>
          <w:b/>
          <w:sz w:val="36"/>
          <w:szCs w:val="31"/>
        </w:rPr>
        <w:t>工作量</w:t>
      </w:r>
      <w:r>
        <w:rPr>
          <w:rFonts w:hint="eastAsia" w:ascii="黑体" w:hAnsi="黑体" w:eastAsia="黑体"/>
          <w:b/>
          <w:sz w:val="36"/>
          <w:szCs w:val="31"/>
        </w:rPr>
        <w:t>计算及</w:t>
      </w:r>
      <w:r>
        <w:rPr>
          <w:rFonts w:ascii="黑体" w:hAnsi="黑体" w:eastAsia="黑体"/>
          <w:b/>
          <w:sz w:val="36"/>
          <w:szCs w:val="31"/>
        </w:rPr>
        <w:t>考核要求</w:t>
      </w:r>
    </w:p>
    <w:tbl>
      <w:tblPr>
        <w:tblStyle w:val="5"/>
        <w:tblpPr w:leftFromText="180" w:rightFromText="180" w:vertAnchor="text" w:tblpXSpec="center" w:tblpY="1"/>
        <w:tblOverlap w:val="never"/>
        <w:tblW w:w="15120" w:type="dxa"/>
        <w:tblInd w:w="0" w:type="dxa"/>
        <w:tblLayout w:type="fixed"/>
        <w:tblCellMar>
          <w:top w:w="0" w:type="dxa"/>
          <w:left w:w="108" w:type="dxa"/>
          <w:bottom w:w="0" w:type="dxa"/>
          <w:right w:w="108" w:type="dxa"/>
        </w:tblCellMar>
      </w:tblPr>
      <w:tblGrid>
        <w:gridCol w:w="1080"/>
        <w:gridCol w:w="1080"/>
        <w:gridCol w:w="3060"/>
        <w:gridCol w:w="1080"/>
        <w:gridCol w:w="3420"/>
        <w:gridCol w:w="1080"/>
        <w:gridCol w:w="1080"/>
        <w:gridCol w:w="1080"/>
        <w:gridCol w:w="1080"/>
        <w:gridCol w:w="1080"/>
      </w:tblGrid>
      <w:tr>
        <w:tblPrEx>
          <w:tblCellMar>
            <w:top w:w="0" w:type="dxa"/>
            <w:left w:w="108" w:type="dxa"/>
            <w:bottom w:w="0" w:type="dxa"/>
            <w:right w:w="108" w:type="dxa"/>
          </w:tblCellMar>
        </w:tblPrEx>
        <w:trPr>
          <w:trHeight w:val="300"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类别</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选聘要求</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等级</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考核要求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分数</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数据来源和主考部门</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1770" w:hRule="atLeast"/>
        </w:trPr>
        <w:tc>
          <w:tcPr>
            <w:tcW w:w="108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班主任</w:t>
            </w:r>
          </w:p>
        </w:tc>
        <w:tc>
          <w:tcPr>
            <w:tcW w:w="30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以身作则，为人师表，热爱学生，做青年学生的良师益友。工作勤奋，具有较强的事业心和工作责任感，具备较强的组织协调、管理和语言文字能力，掌握青年工作的基本知识、方法和一般规律。自主报名与院系推荐相结合，具体以当年《医学院班主任招聘通知》为准　</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优秀</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能较好地完成《杭州师范大学医学院班主任管理办法》中对班主任的各项工作要求；学生满意度评价在90分以上，学年班主任考核成绩为“优秀”。</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25</w:t>
            </w:r>
          </w:p>
        </w:tc>
        <w:tc>
          <w:tcPr>
            <w:tcW w:w="1080"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vMerge w:val="restart"/>
            <w:tcBorders>
              <w:top w:val="nil"/>
              <w:left w:val="single" w:color="auto" w:sz="4"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FF0000"/>
                <w:kern w:val="0"/>
                <w:sz w:val="22"/>
              </w:rPr>
            </w:pPr>
            <w:r>
              <w:rPr>
                <w:rFonts w:hint="eastAsia" w:cs="宋体" w:asciiTheme="minorEastAsia" w:hAnsiTheme="minorEastAsia"/>
                <w:color w:val="FF0000"/>
                <w:kern w:val="0"/>
                <w:sz w:val="22"/>
              </w:rPr>
              <w:t>《杭州师范大学医学院班主任管理办法》</w:t>
            </w:r>
          </w:p>
        </w:tc>
      </w:tr>
      <w:tr>
        <w:tblPrEx>
          <w:tblCellMar>
            <w:top w:w="0" w:type="dxa"/>
            <w:left w:w="108" w:type="dxa"/>
            <w:bottom w:w="0" w:type="dxa"/>
            <w:right w:w="108" w:type="dxa"/>
          </w:tblCellMar>
        </w:tblPrEx>
        <w:trPr>
          <w:trHeight w:val="163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良好</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能基本完成《杭州师范大学医学院班主任管理办法》中对班主任的各项工作要求；学生满意度评价在80分以上，每学期班主任考核成绩“良好”及以上。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1785"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能完成《杭州师范大学医学院班主任管理办法》中对班主任的大部分工作要求；学生满意度评价在70分以上，学年班主任考核成绩为“合格”及以上且至少有一个学期为“良好”及以上。</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15</w:t>
            </w:r>
          </w:p>
        </w:tc>
        <w:tc>
          <w:tcPr>
            <w:tcW w:w="1080" w:type="dxa"/>
            <w:vMerge w:val="continue"/>
            <w:tcBorders>
              <w:top w:val="nil"/>
              <w:left w:val="single" w:color="auto" w:sz="8" w:space="0"/>
              <w:bottom w:val="single" w:color="000000" w:sz="8" w:space="0"/>
              <w:right w:val="single" w:color="auto" w:sz="4"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4002"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兼职辅导员</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具有坚定正确的政治方向，坚决维护党和国家的利益和学校的稳定。热爱学生工作，事业心和责任感强，品行端正，为人师表。具有较强的工作能力，具备一定组织管理、沟通协调和调查研究的能力。能够处理好本职工作和兼职辅导员工作关系，善于利用业余时间开展学生工作。自主报名与党委推荐相结合，具体以当年《医学院兼职辅导员招聘通知》为准</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能较好地完成《杭州师范大学兼职辅导员管理办法》中对兼职辅导员的各项工作要求。</w:t>
            </w:r>
          </w:p>
        </w:tc>
        <w:tc>
          <w:tcPr>
            <w:tcW w:w="3240"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《杭州师范大学兼职辅导员管理办法》</w:t>
            </w:r>
          </w:p>
        </w:tc>
      </w:tr>
      <w:tr>
        <w:tblPrEx>
          <w:tblCellMar>
            <w:top w:w="0" w:type="dxa"/>
            <w:left w:w="108" w:type="dxa"/>
            <w:bottom w:w="0" w:type="dxa"/>
            <w:right w:w="108" w:type="dxa"/>
          </w:tblCellMar>
        </w:tblPrEx>
        <w:trPr>
          <w:trHeight w:val="3418" w:hRule="atLeast"/>
        </w:trPr>
        <w:tc>
          <w:tcPr>
            <w:tcW w:w="1080"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本科生综合导师</w:t>
            </w:r>
          </w:p>
        </w:tc>
        <w:tc>
          <w:tcPr>
            <w:tcW w:w="306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学生的性格、兴趣、人格特质、生活与家庭状况，引导学生身心健康发展、培养健全人格，及时为经济、学习、心理等方面有困难的学生提供帮助，并主动与班主任、辅导员保持联系，积极协作。具体以当年《医学院本科生综合导师招聘通知》为准。</w:t>
            </w:r>
            <w:r>
              <w:rPr>
                <w:rFonts w:hint="eastAsia" w:cs="宋体" w:asciiTheme="minorEastAsia" w:hAnsiTheme="minorEastAsia"/>
                <w:color w:val="FF0000"/>
                <w:kern w:val="0"/>
                <w:sz w:val="22"/>
              </w:rPr>
              <w:t>原则上每位导师指导学生不超过12人</w:t>
            </w:r>
            <w:r>
              <w:rPr>
                <w:rFonts w:hint="eastAsia" w:cs="宋体" w:asciiTheme="minorEastAsia" w:hAnsiTheme="minorEastAsia"/>
                <w:color w:val="000000"/>
                <w:kern w:val="0"/>
                <w:sz w:val="22"/>
              </w:rPr>
              <w:t>。</w:t>
            </w:r>
          </w:p>
        </w:tc>
        <w:tc>
          <w:tcPr>
            <w:tcW w:w="1080"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每学期至少指导每个学生不少于4次。</w:t>
            </w:r>
          </w:p>
        </w:tc>
        <w:tc>
          <w:tcPr>
            <w:tcW w:w="3240" w:type="dxa"/>
            <w:gridSpan w:val="3"/>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4" w:space="0"/>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9"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vAlign w:val="center"/>
          </w:tcPr>
          <w:p>
            <w:pPr>
              <w:jc w:val="center"/>
              <w:rPr>
                <w:rFonts w:cs="宋体" w:asciiTheme="minorEastAsia" w:hAnsiTheme="minorEastAsia"/>
                <w:color w:val="000000"/>
                <w:kern w:val="0"/>
                <w:sz w:val="22"/>
              </w:rPr>
            </w:pPr>
          </w:p>
        </w:tc>
        <w:tc>
          <w:tcPr>
            <w:tcW w:w="306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1080" w:type="dxa"/>
            <w:tcBorders>
              <w:top w:val="single" w:color="auto" w:sz="4" w:space="0"/>
              <w:left w:val="nil"/>
              <w:bottom w:val="nil"/>
              <w:right w:val="single" w:color="auto" w:sz="8" w:space="0"/>
            </w:tcBorders>
            <w:shd w:val="clear" w:color="auto" w:fill="auto"/>
            <w:noWrap/>
            <w:vAlign w:val="center"/>
          </w:tcPr>
          <w:p>
            <w:pPr>
              <w:jc w:val="center"/>
              <w:rPr>
                <w:rFonts w:cs="宋体" w:asciiTheme="minorEastAsia" w:hAnsiTheme="minorEastAsia"/>
                <w:color w:val="000000"/>
                <w:kern w:val="0"/>
                <w:sz w:val="22"/>
              </w:rPr>
            </w:pPr>
          </w:p>
        </w:tc>
        <w:tc>
          <w:tcPr>
            <w:tcW w:w="3420" w:type="dxa"/>
            <w:tcBorders>
              <w:top w:val="single" w:color="auto" w:sz="4" w:space="0"/>
              <w:left w:val="nil"/>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c>
          <w:tcPr>
            <w:tcW w:w="3240" w:type="dxa"/>
            <w:gridSpan w:val="3"/>
            <w:tcBorders>
              <w:top w:val="single" w:color="auto" w:sz="4" w:space="0"/>
              <w:left w:val="nil"/>
              <w:bottom w:val="nil"/>
              <w:right w:val="single" w:color="000000" w:sz="8" w:space="0"/>
            </w:tcBorders>
            <w:shd w:val="clear" w:color="auto" w:fill="auto"/>
            <w:noWrap/>
            <w:vAlign w:val="center"/>
          </w:tcPr>
          <w:p>
            <w:pPr>
              <w:jc w:val="center"/>
              <w:rPr>
                <w:rFonts w:cs="宋体" w:asciiTheme="minorEastAsia" w:hAnsiTheme="minorEastAsia"/>
                <w:color w:val="000000"/>
                <w:kern w:val="0"/>
                <w:sz w:val="22"/>
              </w:rPr>
            </w:pPr>
          </w:p>
        </w:tc>
        <w:tc>
          <w:tcPr>
            <w:tcW w:w="1080" w:type="dxa"/>
            <w:tcBorders>
              <w:top w:val="single" w:color="auto" w:sz="4" w:space="0"/>
              <w:left w:val="nil"/>
              <w:bottom w:val="nil"/>
              <w:right w:val="nil"/>
            </w:tcBorders>
            <w:shd w:val="clear" w:color="auto" w:fill="auto"/>
            <w:vAlign w:val="center"/>
          </w:tcPr>
          <w:p>
            <w:pPr>
              <w:jc w:val="center"/>
              <w:rPr>
                <w:rFonts w:cs="宋体" w:asciiTheme="minorEastAsia" w:hAnsiTheme="minorEastAsia"/>
                <w:color w:val="000000"/>
                <w:kern w:val="0"/>
                <w:sz w:val="22"/>
              </w:rPr>
            </w:pPr>
          </w:p>
        </w:tc>
        <w:tc>
          <w:tcPr>
            <w:tcW w:w="1080" w:type="dxa"/>
            <w:tcBorders>
              <w:top w:val="single" w:color="auto" w:sz="4" w:space="0"/>
              <w:left w:val="single" w:color="auto" w:sz="8" w:space="0"/>
              <w:bottom w:val="nil"/>
              <w:right w:val="single" w:color="auto" w:sz="8" w:space="0"/>
            </w:tcBorders>
            <w:shd w:val="clear" w:color="auto" w:fill="auto"/>
            <w:vAlign w:val="center"/>
          </w:tcPr>
          <w:p>
            <w:pPr>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3663"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4</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本科生考研导师</w:t>
            </w:r>
          </w:p>
        </w:tc>
        <w:tc>
          <w:tcPr>
            <w:tcW w:w="306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立足医学院育人工作和学生未来发展需要，帮助有考研意向的本科生树立坚定的考研目标，制定合理的考研复习规划。通过发挥教师的专业优势和人脉资源，为同学们搭建考研指导、沟通平台，致力于提高医学生考研通过率。具体以当年《医学院本科生考研导师招聘通知》为准。</w:t>
            </w:r>
            <w:r>
              <w:rPr>
                <w:rFonts w:hint="eastAsia" w:cs="宋体" w:asciiTheme="minorEastAsia" w:hAnsiTheme="minorEastAsia"/>
                <w:color w:val="FF0000"/>
                <w:kern w:val="0"/>
                <w:sz w:val="22"/>
              </w:rPr>
              <w:t>导师与学生双向选择，原则上每位导师指导学生不超过5人。</w:t>
            </w:r>
          </w:p>
        </w:tc>
        <w:tc>
          <w:tcPr>
            <w:tcW w:w="1080" w:type="dxa"/>
            <w:tcBorders>
              <w:top w:val="single" w:color="auto" w:sz="8" w:space="0"/>
              <w:left w:val="nil"/>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每学期至少指导每个学生不少于4次。</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2/人·年+1</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当年指导学生考研成绩超过国家线计3/人·年；被国内外院校录取另加2/人·年</w:t>
            </w:r>
          </w:p>
        </w:tc>
        <w:tc>
          <w:tcPr>
            <w:tcW w:w="1080" w:type="dxa"/>
            <w:tcBorders>
              <w:top w:val="single" w:color="auto" w:sz="8" w:space="0"/>
              <w:left w:val="nil"/>
              <w:bottom w:val="nil"/>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tc>
        <w:tc>
          <w:tcPr>
            <w:tcW w:w="1080" w:type="dxa"/>
            <w:tcBorders>
              <w:top w:val="single" w:color="auto" w:sz="8" w:space="0"/>
              <w:left w:val="single" w:color="auto" w:sz="4" w:space="0"/>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《医学院本科生考研导师实施方案》</w:t>
            </w:r>
          </w:p>
        </w:tc>
      </w:tr>
      <w:tr>
        <w:tblPrEx>
          <w:tblCellMar>
            <w:top w:w="0" w:type="dxa"/>
            <w:left w:w="108" w:type="dxa"/>
            <w:bottom w:w="0" w:type="dxa"/>
            <w:right w:w="108" w:type="dxa"/>
          </w:tblCellMar>
        </w:tblPrEx>
        <w:trPr>
          <w:trHeight w:val="686"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研究生导师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认真贯彻落实“立德树人” ，坚持把社会主义核心价值体系融入研究生教育全过程。教育研究生坚持正确的政治方向，自觉遵守国家法律和校规校纪，引导研究生树立正确的世界观、人生观与价值观，养成良好的道德品质。研究生导师经个人申请，学院学位评定分委员会初选和学校学位评定委员会评定，具体以当年《医学院研究生综合导师招聘通知》为准。</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能较好地完成《杭州师范大学研究生指导教师管理办法》及《关于进一步规范医学院研究生培养管理的若干实施意见》中各项工作要求。</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2/人·年</w:t>
            </w:r>
          </w:p>
        </w:tc>
        <w:tc>
          <w:tcPr>
            <w:tcW w:w="1080"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学科办</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研工办</w:t>
            </w:r>
          </w:p>
        </w:tc>
        <w:tc>
          <w:tcPr>
            <w:tcW w:w="108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FF0000"/>
                <w:kern w:val="0"/>
                <w:sz w:val="22"/>
              </w:rPr>
            </w:pPr>
          </w:p>
        </w:tc>
      </w:tr>
      <w:tr>
        <w:tblPrEx>
          <w:tblCellMar>
            <w:top w:w="0" w:type="dxa"/>
            <w:left w:w="108" w:type="dxa"/>
            <w:bottom w:w="0" w:type="dxa"/>
            <w:right w:w="108" w:type="dxa"/>
          </w:tblCellMar>
        </w:tblPrEx>
        <w:trPr>
          <w:trHeight w:val="26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学生党支部书记</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中共党员，党龄5年以上，对党忠诚，理想信念坚定，模范遵守党的政治纪律。学生党支部书记根据当年支部设立情况及工作需要，由所在教工支部推荐，党委任命，有党支部工作经验者优先。</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恪守师德师风，关爱学生。能及时传达、学习、贯彻上级党组织的决议决定，完成上级党组织安排的各项任务。认真做好组织发展工作，严格按照标准发展党员，程序规范，资料完备。模范践行“两学一做”，按要求执行“三会一课”，认真落实党支部组织生活会制度及党员固定活动日制度。</w:t>
            </w:r>
          </w:p>
        </w:tc>
        <w:tc>
          <w:tcPr>
            <w:tcW w:w="3240" w:type="dxa"/>
            <w:gridSpan w:val="3"/>
            <w:tcBorders>
              <w:top w:val="nil"/>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党政办</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 20分，获校级优秀党支部书记及以上荣誉再加 5 分</w:t>
            </w:r>
          </w:p>
        </w:tc>
      </w:tr>
      <w:tr>
        <w:tblPrEx>
          <w:tblCellMar>
            <w:top w:w="0" w:type="dxa"/>
            <w:left w:w="108" w:type="dxa"/>
            <w:bottom w:w="0" w:type="dxa"/>
            <w:right w:w="108" w:type="dxa"/>
          </w:tblCellMar>
        </w:tblPrEx>
        <w:trPr>
          <w:trHeight w:val="3270"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学生社团指导教师原则上由有关专业背景或服务需求的单位和教师指导，根据当年社团设立情况及工作需，由社团提出聘请建议，自主报名与团委推荐相结合，择优选聘。</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了解并遵守有关杭州师范大学学生社团的各项章程、管理办法；了解社团开展的活动及社团内部动态，对涉及学校及组织名誉的活动严格把关，加强监督，承担活动的审批责任；把握社团发展方向，引领社团健康和谐、可持续性地发展；监督社团的财务状况，定期审核帐目；每学期至少参加该社团活动两次，出席与指导社团会员大会的召开和负责人的推选。</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10/年+5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考核合格者，每年度计10分，获学校优秀指导教师或指导的社团获评十佳社团再加 5 分</w:t>
            </w:r>
          </w:p>
        </w:tc>
      </w:tr>
      <w:tr>
        <w:tblPrEx>
          <w:tblCellMar>
            <w:top w:w="0" w:type="dxa"/>
            <w:left w:w="108" w:type="dxa"/>
            <w:bottom w:w="0" w:type="dxa"/>
            <w:right w:w="108" w:type="dxa"/>
          </w:tblCellMar>
        </w:tblPrEx>
        <w:trPr>
          <w:trHeight w:val="250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8</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社会实践指导教师</w:t>
            </w:r>
          </w:p>
        </w:tc>
        <w:tc>
          <w:tcPr>
            <w:tcW w:w="306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根据当年校团委社会实践工作要求及学院立项情况选聘，自主报名与团委推荐相结合，择优录取。</w:t>
            </w:r>
          </w:p>
        </w:tc>
        <w:tc>
          <w:tcPr>
            <w:tcW w:w="1080" w:type="dxa"/>
            <w:tcBorders>
              <w:top w:val="nil"/>
              <w:left w:val="nil"/>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指导教师全权负责社会实践团队的申报立项、开展实践和总结工作；需掌握团队活动的进展情况，加强团队成员的日常教育管理，认真落实各项安全措施。遇意外事件及时采取措施，保证团队的安全和实践活动的顺利进行，确保外出实践师生的人员、财产安全。</w:t>
            </w:r>
          </w:p>
        </w:tc>
        <w:tc>
          <w:tcPr>
            <w:tcW w:w="3240"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2/天+5</w:t>
            </w:r>
          </w:p>
        </w:tc>
        <w:tc>
          <w:tcPr>
            <w:tcW w:w="1080" w:type="dxa"/>
            <w:tcBorders>
              <w:top w:val="nil"/>
              <w:left w:val="nil"/>
              <w:bottom w:val="single" w:color="auto" w:sz="8" w:space="0"/>
              <w:right w:val="single" w:color="auto" w:sz="4"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教师带队每天计2分。项目获各级荣誉或获评优秀指导教师的增加 5 分</w:t>
            </w:r>
          </w:p>
        </w:tc>
      </w:tr>
      <w:tr>
        <w:tblPrEx>
          <w:tblCellMar>
            <w:top w:w="0" w:type="dxa"/>
            <w:left w:w="108" w:type="dxa"/>
            <w:bottom w:w="0" w:type="dxa"/>
            <w:right w:w="108" w:type="dxa"/>
          </w:tblCellMar>
        </w:tblPrEx>
        <w:trPr>
          <w:trHeight w:val="420" w:hRule="atLeast"/>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9</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创新创业指导教师</w:t>
            </w:r>
          </w:p>
        </w:tc>
        <w:tc>
          <w:tcPr>
            <w:tcW w:w="30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对学生进行与创新训练有关的创新思维、创新方法、创业训练、项目管理和企业管理等指导。指导教师与学生实行双向选择，最终以当年学校（学院）立项情况为准。</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vMerge w:val="restart"/>
            <w:tcBorders>
              <w:top w:val="single" w:color="auto" w:sz="8" w:space="0"/>
              <w:left w:val="single" w:color="auto" w:sz="8" w:space="0"/>
              <w:right w:val="single" w:color="auto" w:sz="8" w:space="0"/>
            </w:tcBorders>
            <w:shd w:val="clear" w:color="auto" w:fill="auto"/>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在指导过程中，注重发挥学生的主动性和创造性，引导学生自主完成研究计划，注重培养学生综合素质。要加强对学生科研成果培育过程的监督与指导，对学生科研成果的观点、论据和实验数据等严格把关，强化学术规范要求，严禁学术腐败，保证成果的独创性,保证学生科研成果质量。需加入学院创新</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创新创业项目结题</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国家级</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6</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教务科</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项目需按结题要求完成结题</w:t>
            </w: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省级</w:t>
            </w:r>
          </w:p>
        </w:tc>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5</w:t>
            </w:r>
          </w:p>
        </w:tc>
        <w:tc>
          <w:tcPr>
            <w:tcW w:w="1080" w:type="dxa"/>
            <w:vMerge w:val="restart"/>
            <w:tcBorders>
              <w:top w:val="nil"/>
              <w:left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20"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tcBorders>
              <w:top w:val="nil"/>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校级</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w:t>
            </w:r>
          </w:p>
        </w:tc>
        <w:tc>
          <w:tcPr>
            <w:tcW w:w="1080" w:type="dxa"/>
            <w:vMerge w:val="continue"/>
            <w:tcBorders>
              <w:left w:val="nil"/>
              <w:bottom w:val="single" w:color="auto" w:sz="4" w:space="0"/>
              <w:right w:val="nil"/>
            </w:tcBorders>
            <w:shd w:val="clear" w:color="auto" w:fill="auto"/>
            <w:vAlign w:val="center"/>
          </w:tcPr>
          <w:p>
            <w:pPr>
              <w:jc w:val="center"/>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国家发明专利</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restart"/>
            <w:tcBorders>
              <w:top w:val="single" w:color="auto" w:sz="4" w:space="0"/>
              <w:left w:val="single" w:color="auto" w:sz="8" w:space="0"/>
              <w:right w:val="nil"/>
            </w:tcBorders>
            <w:shd w:val="clear" w:color="auto" w:fill="auto"/>
            <w:noWrap/>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提供专利证书</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其他专利</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3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right w:val="single" w:color="auto" w:sz="8" w:space="0"/>
            </w:tcBorders>
            <w:vAlign w:val="center"/>
          </w:tcPr>
          <w:p>
            <w:pPr>
              <w:widowControl/>
              <w:jc w:val="left"/>
              <w:rPr>
                <w:rFonts w:cs="宋体" w:asciiTheme="minorEastAsia" w:hAnsiTheme="minorEastAsia"/>
                <w:color w:val="000000"/>
                <w:kern w:val="0"/>
                <w:sz w:val="22"/>
              </w:rPr>
            </w:pPr>
          </w:p>
        </w:tc>
        <w:tc>
          <w:tcPr>
            <w:tcW w:w="2160" w:type="dxa"/>
            <w:gridSpan w:val="2"/>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核心期刊论文</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7</w:t>
            </w:r>
          </w:p>
        </w:tc>
        <w:tc>
          <w:tcPr>
            <w:tcW w:w="1080" w:type="dxa"/>
            <w:vMerge w:val="continue"/>
            <w:tcBorders>
              <w:left w:val="single" w:color="auto" w:sz="8" w:space="0"/>
              <w:right w:val="nil"/>
            </w:tcBorders>
            <w:vAlign w:val="center"/>
          </w:tcPr>
          <w:p>
            <w:pPr>
              <w:widowControl/>
              <w:jc w:val="left"/>
              <w:rPr>
                <w:rFonts w:cs="宋体" w:asciiTheme="minorEastAsia" w:hAnsiTheme="minorEastAsia"/>
                <w:color w:val="000000"/>
                <w:kern w:val="0"/>
                <w:sz w:val="22"/>
              </w:rPr>
            </w:pPr>
          </w:p>
        </w:tc>
        <w:tc>
          <w:tcPr>
            <w:tcW w:w="1080" w:type="dxa"/>
            <w:vMerge w:val="restart"/>
            <w:tcBorders>
              <w:top w:val="nil"/>
              <w:left w:val="single" w:color="auto" w:sz="8" w:space="0"/>
              <w:right w:val="single" w:color="auto" w:sz="8" w:space="0"/>
            </w:tcBorders>
            <w:shd w:val="clear" w:color="auto" w:fill="auto"/>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参考学校期刊目录</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vMerge w:val="continue"/>
            <w:tcBorders>
              <w:left w:val="single" w:color="auto" w:sz="8" w:space="0"/>
              <w:bottom w:val="single" w:color="auto" w:sz="4" w:space="0"/>
              <w:right w:val="single" w:color="auto" w:sz="8" w:space="0"/>
            </w:tcBorders>
            <w:vAlign w:val="center"/>
          </w:tcPr>
          <w:p>
            <w:pPr>
              <w:jc w:val="left"/>
              <w:rPr>
                <w:rFonts w:cs="宋体" w:asciiTheme="minorEastAsia" w:hAnsiTheme="minorEastAsia"/>
                <w:color w:val="000000"/>
                <w:kern w:val="0"/>
                <w:sz w:val="22"/>
              </w:rPr>
            </w:pPr>
          </w:p>
        </w:tc>
        <w:tc>
          <w:tcPr>
            <w:tcW w:w="216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普通期刊论文</w:t>
            </w:r>
          </w:p>
        </w:tc>
        <w:tc>
          <w:tcPr>
            <w:tcW w:w="108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vMerge w:val="continue"/>
            <w:tcBorders>
              <w:left w:val="single" w:color="auto" w:sz="8" w:space="0"/>
              <w:bottom w:val="single" w:color="auto" w:sz="4" w:space="0"/>
              <w:right w:val="nil"/>
            </w:tcBorders>
            <w:vAlign w:val="center"/>
          </w:tcPr>
          <w:p>
            <w:pPr>
              <w:jc w:val="center"/>
              <w:rPr>
                <w:rFonts w:cs="宋体" w:asciiTheme="minorEastAsia" w:hAnsiTheme="minorEastAsia"/>
                <w:color w:val="000000"/>
                <w:kern w:val="0"/>
                <w:sz w:val="22"/>
              </w:rPr>
            </w:pPr>
          </w:p>
        </w:tc>
        <w:tc>
          <w:tcPr>
            <w:tcW w:w="1080" w:type="dxa"/>
            <w:vMerge w:val="continue"/>
            <w:tcBorders>
              <w:left w:val="single" w:color="auto" w:sz="8" w:space="0"/>
              <w:bottom w:val="single" w:color="auto" w:sz="4" w:space="0"/>
              <w:right w:val="single" w:color="auto" w:sz="8" w:space="0"/>
            </w:tcBorders>
            <w:vAlign w:val="center"/>
          </w:tcPr>
          <w:p>
            <w:pPr>
              <w:jc w:val="center"/>
              <w:rPr>
                <w:rFonts w:cs="宋体" w:asciiTheme="minorEastAsia" w:hAnsiTheme="minorEastAsia"/>
                <w:color w:val="000000"/>
                <w:kern w:val="0"/>
                <w:sz w:val="22"/>
              </w:rPr>
            </w:pPr>
          </w:p>
        </w:tc>
      </w:tr>
      <w:tr>
        <w:tblPrEx>
          <w:tblCellMar>
            <w:top w:w="0" w:type="dxa"/>
            <w:left w:w="108" w:type="dxa"/>
            <w:bottom w:w="0" w:type="dxa"/>
            <w:right w:w="108" w:type="dxa"/>
          </w:tblCellMar>
        </w:tblPrEx>
        <w:trPr>
          <w:trHeight w:val="485" w:hRule="atLeast"/>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06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10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asciiTheme="minorEastAsia" w:hAnsiTheme="minorEastAsia"/>
                <w:color w:val="000000"/>
                <w:kern w:val="0"/>
                <w:sz w:val="22"/>
              </w:rPr>
            </w:pPr>
          </w:p>
        </w:tc>
        <w:tc>
          <w:tcPr>
            <w:tcW w:w="3420" w:type="dxa"/>
            <w:tcBorders>
              <w:top w:val="single" w:color="auto" w:sz="4" w:space="0"/>
              <w:left w:val="single" w:color="auto" w:sz="8" w:space="0"/>
              <w:bottom w:val="single" w:color="000000" w:sz="8" w:space="0"/>
              <w:right w:val="single" w:color="auto" w:sz="8" w:space="0"/>
            </w:tcBorders>
            <w:vAlign w:val="center"/>
          </w:tcPr>
          <w:p>
            <w:pPr>
              <w:jc w:val="left"/>
              <w:rPr>
                <w:rFonts w:cs="宋体" w:asciiTheme="minorEastAsia" w:hAnsiTheme="minorEastAsia"/>
                <w:color w:val="000000"/>
                <w:kern w:val="0"/>
                <w:sz w:val="22"/>
              </w:rPr>
            </w:pPr>
            <w:r>
              <w:rPr>
                <w:rFonts w:hint="eastAsia" w:cs="宋体" w:asciiTheme="minorEastAsia" w:hAnsiTheme="minorEastAsia"/>
                <w:color w:val="000000"/>
                <w:kern w:val="0"/>
                <w:sz w:val="22"/>
              </w:rPr>
              <w:t>创业指导教师人才库，每年按要求做好登记。</w:t>
            </w:r>
          </w:p>
        </w:tc>
        <w:tc>
          <w:tcPr>
            <w:tcW w:w="2160" w:type="dxa"/>
            <w:gridSpan w:val="2"/>
            <w:tcBorders>
              <w:top w:val="single" w:color="auto" w:sz="4"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注册企业</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w:t>
            </w:r>
          </w:p>
        </w:tc>
        <w:tc>
          <w:tcPr>
            <w:tcW w:w="1080" w:type="dxa"/>
            <w:tcBorders>
              <w:top w:val="single" w:color="auto" w:sz="4" w:space="0"/>
              <w:left w:val="single" w:color="auto" w:sz="8" w:space="0"/>
              <w:bottom w:val="single" w:color="000000" w:sz="8" w:space="0"/>
              <w:right w:val="nil"/>
            </w:tcBorders>
            <w:vAlign w:val="center"/>
          </w:tcPr>
          <w:p>
            <w:pPr>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提供营业执照</w:t>
            </w:r>
          </w:p>
        </w:tc>
      </w:tr>
      <w:tr>
        <w:tblPrEx>
          <w:tblCellMar>
            <w:top w:w="0" w:type="dxa"/>
            <w:left w:w="108" w:type="dxa"/>
            <w:bottom w:w="0" w:type="dxa"/>
            <w:right w:w="108" w:type="dxa"/>
          </w:tblCellMar>
        </w:tblPrEx>
        <w:trPr>
          <w:trHeight w:val="2265" w:hRule="atLeast"/>
        </w:trPr>
        <w:tc>
          <w:tcPr>
            <w:tcW w:w="108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学生竞赛指导教师</w:t>
            </w:r>
          </w:p>
        </w:tc>
        <w:tc>
          <w:tcPr>
            <w:tcW w:w="306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能为学生竞赛活动提供及时、全程、专业的培训和指导。由教务科、学工办等相关部门根据当年竞赛工作实际需要组织并选聘，自主报名与院系推荐相结合，择优录取。</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nil"/>
              <w:left w:val="nil"/>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备竞赛相关的专业背景和技能，能为学生竞赛活动提供及时、全程、专业的培训和指导。加强竞赛期间对学生的教育和管理，认真落实各项安全措施，保证竞赛的顺利进行。竞赛包括学校组织的学科竞赛、体育竞赛、艺术展演等</w:t>
            </w:r>
          </w:p>
        </w:tc>
        <w:tc>
          <w:tcPr>
            <w:tcW w:w="324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10/项+5</w:t>
            </w:r>
          </w:p>
        </w:tc>
        <w:tc>
          <w:tcPr>
            <w:tcW w:w="1080" w:type="dxa"/>
            <w:tcBorders>
              <w:top w:val="nil"/>
              <w:left w:val="nil"/>
              <w:bottom w:val="single" w:color="auto" w:sz="4"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教务科</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tc>
        <w:tc>
          <w:tcPr>
            <w:tcW w:w="1080"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获省级以上奖项的每个项目增加5分。</w:t>
            </w:r>
          </w:p>
        </w:tc>
      </w:tr>
      <w:tr>
        <w:tblPrEx>
          <w:tblCellMar>
            <w:top w:w="0" w:type="dxa"/>
            <w:left w:w="108" w:type="dxa"/>
            <w:bottom w:w="0" w:type="dxa"/>
            <w:right w:w="108" w:type="dxa"/>
          </w:tblCellMar>
        </w:tblPrEx>
        <w:trPr>
          <w:trHeight w:val="2265" w:hRule="atLeast"/>
        </w:trPr>
        <w:tc>
          <w:tcPr>
            <w:tcW w:w="1080" w:type="dxa"/>
            <w:tcBorders>
              <w:top w:val="single" w:color="auto" w:sz="4" w:space="0"/>
              <w:left w:val="single" w:color="auto" w:sz="8" w:space="0"/>
              <w:bottom w:val="nil"/>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11</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课外育人课堂主讲教师</w:t>
            </w:r>
          </w:p>
        </w:tc>
        <w:tc>
          <w:tcPr>
            <w:tcW w:w="306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根据当年活动需要组织开展，以自主报名与部门推荐相结合，择优选聘。</w:t>
            </w:r>
          </w:p>
        </w:tc>
        <w:tc>
          <w:tcPr>
            <w:tcW w:w="1080" w:type="dxa"/>
            <w:tcBorders>
              <w:top w:val="single" w:color="auto" w:sz="4" w:space="0"/>
              <w:left w:val="nil"/>
              <w:bottom w:val="nil"/>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4" w:space="0"/>
              <w:left w:val="nil"/>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具有坚定的政治立场，在政治上、思想上、行动上和党中央保持一致；理想信念坚定，恪守师德师风，能及时学习、宣传、贯彻党和国家最新的理论、方针、政策等。担任党校、团校等培训或思政教育专题报告、沙龙活动等主讲教师</w:t>
            </w:r>
          </w:p>
        </w:tc>
        <w:tc>
          <w:tcPr>
            <w:tcW w:w="3240" w:type="dxa"/>
            <w:gridSpan w:val="3"/>
            <w:tcBorders>
              <w:top w:val="single" w:color="auto" w:sz="4" w:space="0"/>
              <w:left w:val="nil"/>
              <w:bottom w:val="nil"/>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3/半天（3课时）</w:t>
            </w:r>
          </w:p>
        </w:tc>
        <w:tc>
          <w:tcPr>
            <w:tcW w:w="1080" w:type="dxa"/>
            <w:tcBorders>
              <w:top w:val="single" w:color="auto" w:sz="4" w:space="0"/>
              <w:left w:val="nil"/>
              <w:bottom w:val="nil"/>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p>
            <w:pPr>
              <w:widowControl/>
              <w:jc w:val="center"/>
              <w:rPr>
                <w:rFonts w:cs="宋体" w:asciiTheme="minorEastAsia" w:hAnsiTheme="minorEastAsia"/>
                <w:color w:val="FF0000"/>
                <w:kern w:val="0"/>
                <w:sz w:val="22"/>
              </w:rPr>
            </w:pPr>
            <w:r>
              <w:rPr>
                <w:rFonts w:hint="eastAsia" w:cs="宋体" w:asciiTheme="minorEastAsia" w:hAnsiTheme="minorEastAsia"/>
                <w:color w:val="FF0000"/>
                <w:kern w:val="0"/>
                <w:sz w:val="22"/>
              </w:rPr>
              <w:t>研工办</w:t>
            </w:r>
          </w:p>
          <w:p>
            <w:pPr>
              <w:widowControl/>
              <w:jc w:val="center"/>
              <w:rPr>
                <w:rFonts w:cs="宋体" w:asciiTheme="minorEastAsia" w:hAnsiTheme="minorEastAsia"/>
                <w:color w:val="000000"/>
                <w:kern w:val="0"/>
                <w:sz w:val="22"/>
              </w:rPr>
            </w:pPr>
            <w:r>
              <w:rPr>
                <w:rFonts w:hint="eastAsia" w:cs="宋体" w:asciiTheme="minorEastAsia" w:hAnsiTheme="minorEastAsia"/>
                <w:color w:val="FF0000"/>
                <w:kern w:val="0"/>
                <w:sz w:val="22"/>
              </w:rPr>
              <w:t>教务科</w:t>
            </w:r>
          </w:p>
        </w:tc>
        <w:tc>
          <w:tcPr>
            <w:tcW w:w="1080" w:type="dxa"/>
            <w:tcBorders>
              <w:top w:val="single" w:color="auto" w:sz="4" w:space="0"/>
              <w:left w:val="single" w:color="auto" w:sz="8" w:space="0"/>
              <w:bottom w:val="nil"/>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r>
        <w:tblPrEx>
          <w:tblCellMar>
            <w:top w:w="0" w:type="dxa"/>
            <w:left w:w="108" w:type="dxa"/>
            <w:bottom w:w="0" w:type="dxa"/>
            <w:right w:w="108" w:type="dxa"/>
          </w:tblCellMar>
        </w:tblPrEx>
        <w:trPr>
          <w:trHeight w:val="1537"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12</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课外活动指导老师</w:t>
            </w:r>
          </w:p>
        </w:tc>
        <w:tc>
          <w:tcPr>
            <w:tcW w:w="3060" w:type="dxa"/>
            <w:tcBorders>
              <w:top w:val="single" w:color="auto" w:sz="8" w:space="0"/>
              <w:left w:val="nil"/>
              <w:bottom w:val="single" w:color="auto" w:sz="8" w:space="0"/>
              <w:right w:val="single" w:color="auto" w:sz="8" w:space="0"/>
            </w:tcBorders>
            <w:shd w:val="clear" w:color="auto" w:fill="auto"/>
            <w:vAlign w:val="center"/>
          </w:tcPr>
          <w:p>
            <w:pPr>
              <w:widowControl/>
              <w:rPr>
                <w:rFonts w:cs="宋体" w:asciiTheme="minorEastAsia" w:hAnsiTheme="minorEastAsia"/>
                <w:color w:val="000000"/>
                <w:kern w:val="0"/>
                <w:sz w:val="22"/>
              </w:rPr>
            </w:pPr>
            <w:r>
              <w:rPr>
                <w:rFonts w:hint="eastAsia" w:cs="宋体" w:asciiTheme="minorEastAsia" w:hAnsiTheme="minorEastAsia"/>
                <w:color w:val="000000"/>
                <w:kern w:val="0"/>
                <w:sz w:val="22"/>
              </w:rPr>
              <w:t>根据当年活动需要组织开展，担任学生非教学活动评审或辅导工作，以自主报名与部门推荐相结合，择优选聘。</w:t>
            </w:r>
          </w:p>
        </w:tc>
        <w:tc>
          <w:tcPr>
            <w:tcW w:w="10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合格</w:t>
            </w:r>
          </w:p>
        </w:tc>
        <w:tc>
          <w:tcPr>
            <w:tcW w:w="34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需具备活动相关的专业背景。指导或评审学生开展各类校园文化活动和素质提升项目等活动</w:t>
            </w:r>
          </w:p>
        </w:tc>
        <w:tc>
          <w:tcPr>
            <w:tcW w:w="324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2/半天</w:t>
            </w:r>
          </w:p>
        </w:tc>
        <w:tc>
          <w:tcPr>
            <w:tcW w:w="1080" w:type="dxa"/>
            <w:tcBorders>
              <w:top w:val="single" w:color="auto" w:sz="8" w:space="0"/>
              <w:left w:val="nil"/>
              <w:bottom w:val="single" w:color="auto" w:sz="8" w:space="0"/>
              <w:right w:val="nil"/>
            </w:tcBorders>
            <w:shd w:val="clear" w:color="auto" w:fill="auto"/>
            <w:vAlign w:val="center"/>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团委</w:t>
            </w:r>
          </w:p>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学工办</w:t>
            </w:r>
          </w:p>
          <w:p>
            <w:pPr>
              <w:widowControl/>
              <w:jc w:val="center"/>
              <w:rPr>
                <w:rFonts w:cs="宋体" w:asciiTheme="minorEastAsia" w:hAnsiTheme="minorEastAsia"/>
                <w:color w:val="000000"/>
                <w:kern w:val="0"/>
                <w:sz w:val="22"/>
              </w:rPr>
            </w:pPr>
            <w:r>
              <w:rPr>
                <w:rFonts w:hint="eastAsia" w:cs="宋体" w:asciiTheme="minorEastAsia" w:hAnsiTheme="minorEastAsia"/>
                <w:color w:val="FF0000"/>
                <w:kern w:val="0"/>
                <w:sz w:val="22"/>
              </w:rPr>
              <w:t>研工办</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r>
    </w:tbl>
    <w:p>
      <w:pPr>
        <w:spacing w:line="400" w:lineRule="exact"/>
        <w:rPr>
          <w:b/>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A6F0D"/>
    <w:rsid w:val="000C0D3B"/>
    <w:rsid w:val="000D3F03"/>
    <w:rsid w:val="00174987"/>
    <w:rsid w:val="001F715E"/>
    <w:rsid w:val="0021055F"/>
    <w:rsid w:val="00231097"/>
    <w:rsid w:val="00267F5A"/>
    <w:rsid w:val="003E0C9A"/>
    <w:rsid w:val="0049108C"/>
    <w:rsid w:val="00537F3B"/>
    <w:rsid w:val="006C3CED"/>
    <w:rsid w:val="008740DD"/>
    <w:rsid w:val="008C2B4F"/>
    <w:rsid w:val="00952924"/>
    <w:rsid w:val="00A74B4E"/>
    <w:rsid w:val="00BF08C6"/>
    <w:rsid w:val="00C17263"/>
    <w:rsid w:val="00C57559"/>
    <w:rsid w:val="00D06CCC"/>
    <w:rsid w:val="00DF0CEF"/>
    <w:rsid w:val="00EA694B"/>
    <w:rsid w:val="00ED71E9"/>
    <w:rsid w:val="00F37BFA"/>
    <w:rsid w:val="00F53975"/>
    <w:rsid w:val="00F8678E"/>
    <w:rsid w:val="01F33FB7"/>
    <w:rsid w:val="0203213B"/>
    <w:rsid w:val="04D12120"/>
    <w:rsid w:val="057151D2"/>
    <w:rsid w:val="06C05EE6"/>
    <w:rsid w:val="07353327"/>
    <w:rsid w:val="0A6D551E"/>
    <w:rsid w:val="0B125267"/>
    <w:rsid w:val="0B270BAF"/>
    <w:rsid w:val="0C3C07E4"/>
    <w:rsid w:val="0F427CB6"/>
    <w:rsid w:val="0F5A7383"/>
    <w:rsid w:val="129138F2"/>
    <w:rsid w:val="19606CC3"/>
    <w:rsid w:val="19A64CA2"/>
    <w:rsid w:val="1ADC7C73"/>
    <w:rsid w:val="1B114B41"/>
    <w:rsid w:val="1C2F2B84"/>
    <w:rsid w:val="1D0D257B"/>
    <w:rsid w:val="1EA76175"/>
    <w:rsid w:val="208D53AF"/>
    <w:rsid w:val="220B6F20"/>
    <w:rsid w:val="22AD4B06"/>
    <w:rsid w:val="23CE3A47"/>
    <w:rsid w:val="24C524C0"/>
    <w:rsid w:val="26CB585A"/>
    <w:rsid w:val="29576481"/>
    <w:rsid w:val="300A62A1"/>
    <w:rsid w:val="30696610"/>
    <w:rsid w:val="31175DC2"/>
    <w:rsid w:val="316C69DB"/>
    <w:rsid w:val="34C2296D"/>
    <w:rsid w:val="353F08D9"/>
    <w:rsid w:val="36184B04"/>
    <w:rsid w:val="36900367"/>
    <w:rsid w:val="36904DDD"/>
    <w:rsid w:val="3AF758A7"/>
    <w:rsid w:val="3EF46C6C"/>
    <w:rsid w:val="417C32A4"/>
    <w:rsid w:val="44835E80"/>
    <w:rsid w:val="49CE33D2"/>
    <w:rsid w:val="4C8011A8"/>
    <w:rsid w:val="4D6607DB"/>
    <w:rsid w:val="525A6F0D"/>
    <w:rsid w:val="53463C54"/>
    <w:rsid w:val="54F241F3"/>
    <w:rsid w:val="584734DA"/>
    <w:rsid w:val="5DDF3B89"/>
    <w:rsid w:val="5E530304"/>
    <w:rsid w:val="5F825C78"/>
    <w:rsid w:val="672D7BB8"/>
    <w:rsid w:val="67BC17AC"/>
    <w:rsid w:val="6A616580"/>
    <w:rsid w:val="6A8E3129"/>
    <w:rsid w:val="6C380C84"/>
    <w:rsid w:val="6C7E25E3"/>
    <w:rsid w:val="6F675249"/>
    <w:rsid w:val="70751081"/>
    <w:rsid w:val="735A07AD"/>
    <w:rsid w:val="735D7E7F"/>
    <w:rsid w:val="75350941"/>
    <w:rsid w:val="775616FB"/>
    <w:rsid w:val="786318C1"/>
    <w:rsid w:val="789E25E2"/>
    <w:rsid w:val="7C754F41"/>
    <w:rsid w:val="7CBC6D06"/>
    <w:rsid w:val="7DA1351B"/>
    <w:rsid w:val="7E1A41E3"/>
    <w:rsid w:val="7FE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qFormat/>
    <w:uiPriority w:val="99"/>
    <w:pPr>
      <w:tabs>
        <w:tab w:val="center" w:pos="4153"/>
        <w:tab w:val="right" w:pos="8306"/>
      </w:tabs>
      <w:snapToGrid w:val="0"/>
      <w:jc w:val="left"/>
    </w:pPr>
    <w:rPr>
      <w:sz w:val="18"/>
      <w:szCs w:val="18"/>
    </w:rPr>
  </w:style>
  <w:style w:type="paragraph" w:styleId="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FollowedHyperlink"/>
    <w:basedOn w:val="7"/>
    <w:qFormat/>
    <w:uiPriority w:val="0"/>
    <w:rPr>
      <w:color w:val="0088CC"/>
      <w:u w:val="none"/>
    </w:rPr>
  </w:style>
  <w:style w:type="character" w:styleId="10">
    <w:name w:val="Emphasis"/>
    <w:basedOn w:val="7"/>
    <w:qFormat/>
    <w:uiPriority w:val="0"/>
    <w:rPr>
      <w:i/>
    </w:rPr>
  </w:style>
  <w:style w:type="character" w:styleId="11">
    <w:name w:val="HTML Definition"/>
    <w:basedOn w:val="7"/>
    <w:qFormat/>
    <w:uiPriority w:val="0"/>
    <w:rPr>
      <w:i/>
    </w:rPr>
  </w:style>
  <w:style w:type="character" w:styleId="12">
    <w:name w:val="HTML Typewriter"/>
    <w:basedOn w:val="7"/>
    <w:qFormat/>
    <w:uiPriority w:val="0"/>
    <w:rPr>
      <w:rFonts w:hint="default" w:ascii="Consolas" w:hAnsi="Consolas" w:eastAsia="Consolas" w:cs="Consolas"/>
      <w:sz w:val="21"/>
      <w:szCs w:val="21"/>
    </w:rPr>
  </w:style>
  <w:style w:type="character" w:styleId="13">
    <w:name w:val="HTML Acronym"/>
    <w:basedOn w:val="7"/>
    <w:qFormat/>
    <w:uiPriority w:val="0"/>
  </w:style>
  <w:style w:type="character" w:styleId="14">
    <w:name w:val="HTML Variable"/>
    <w:basedOn w:val="7"/>
    <w:qFormat/>
    <w:uiPriority w:val="0"/>
    <w:rPr>
      <w:rFonts w:ascii="Consolas" w:hAnsi="Consolas" w:eastAsia="Consolas" w:cs="Consolas"/>
      <w:i/>
      <w:sz w:val="21"/>
      <w:szCs w:val="21"/>
    </w:rPr>
  </w:style>
  <w:style w:type="character" w:styleId="15">
    <w:name w:val="Hyperlink"/>
    <w:basedOn w:val="7"/>
    <w:qFormat/>
    <w:uiPriority w:val="0"/>
    <w:rPr>
      <w:color w:val="0088CC"/>
      <w:u w:val="none"/>
    </w:rPr>
  </w:style>
  <w:style w:type="character" w:styleId="16">
    <w:name w:val="HTML Code"/>
    <w:basedOn w:val="7"/>
    <w:qFormat/>
    <w:uiPriority w:val="0"/>
    <w:rPr>
      <w:rFonts w:hint="default" w:ascii="Consolas" w:hAnsi="Consolas" w:eastAsia="Consolas" w:cs="Consolas"/>
      <w:sz w:val="21"/>
      <w:szCs w:val="21"/>
    </w:rPr>
  </w:style>
  <w:style w:type="character" w:styleId="17">
    <w:name w:val="HTML Cite"/>
    <w:basedOn w:val="7"/>
    <w:qFormat/>
    <w:uiPriority w:val="0"/>
    <w:rPr>
      <w:i/>
    </w:rPr>
  </w:style>
  <w:style w:type="character" w:styleId="18">
    <w:name w:val="HTML Keyboard"/>
    <w:basedOn w:val="7"/>
    <w:qFormat/>
    <w:uiPriority w:val="0"/>
    <w:rPr>
      <w:rFonts w:hint="default" w:ascii="Consolas" w:hAnsi="Consolas" w:eastAsia="Consolas" w:cs="Consolas"/>
      <w:sz w:val="21"/>
      <w:szCs w:val="21"/>
    </w:rPr>
  </w:style>
  <w:style w:type="character" w:customStyle="1" w:styleId="19">
    <w:name w:val="disabled"/>
    <w:basedOn w:val="7"/>
    <w:qFormat/>
    <w:uiPriority w:val="0"/>
    <w:rPr>
      <w:color w:val="ADAAAD"/>
    </w:rPr>
  </w:style>
  <w:style w:type="character" w:customStyle="1" w:styleId="20">
    <w:name w:val="hover43"/>
    <w:basedOn w:val="7"/>
    <w:qFormat/>
    <w:uiPriority w:val="0"/>
    <w:rPr>
      <w:color w:val="FFFFFF"/>
      <w:shd w:val="clear" w:color="auto" w:fill="444444"/>
    </w:rPr>
  </w:style>
  <w:style w:type="character" w:customStyle="1" w:styleId="21">
    <w:name w:val="hover44"/>
    <w:basedOn w:val="7"/>
    <w:qFormat/>
    <w:uiPriority w:val="0"/>
    <w:rPr>
      <w:shd w:val="clear" w:color="auto" w:fill="000000"/>
    </w:rPr>
  </w:style>
  <w:style w:type="character" w:customStyle="1" w:styleId="22">
    <w:name w:val="pages"/>
    <w:basedOn w:val="7"/>
    <w:qFormat/>
    <w:uiPriority w:val="0"/>
    <w:rPr>
      <w:color w:val="555555"/>
    </w:rPr>
  </w:style>
  <w:style w:type="character" w:customStyle="1" w:styleId="23">
    <w:name w:val="pages1"/>
    <w:basedOn w:val="7"/>
    <w:qFormat/>
    <w:uiPriority w:val="0"/>
    <w:rPr>
      <w:color w:val="555555"/>
    </w:rPr>
  </w:style>
  <w:style w:type="character" w:customStyle="1" w:styleId="24">
    <w:name w:val="pages2"/>
    <w:basedOn w:val="7"/>
    <w:qFormat/>
    <w:uiPriority w:val="0"/>
    <w:rPr>
      <w:color w:val="666666"/>
      <w:sz w:val="18"/>
      <w:szCs w:val="18"/>
      <w:u w:val="none"/>
      <w:bdr w:val="single" w:color="DEDFDE" w:sz="6" w:space="0"/>
    </w:rPr>
  </w:style>
  <w:style w:type="character" w:customStyle="1" w:styleId="25">
    <w:name w:val="current"/>
    <w:basedOn w:val="7"/>
    <w:qFormat/>
    <w:uiPriority w:val="0"/>
    <w:rPr>
      <w:color w:val="FFFFFF"/>
      <w:shd w:val="clear" w:color="auto" w:fill="444444"/>
    </w:rPr>
  </w:style>
  <w:style w:type="character" w:customStyle="1" w:styleId="26">
    <w:name w:val="current1"/>
    <w:basedOn w:val="7"/>
    <w:qFormat/>
    <w:uiPriority w:val="0"/>
    <w:rPr>
      <w:b/>
      <w:color w:val="01BCA5"/>
      <w:sz w:val="18"/>
      <w:szCs w:val="18"/>
      <w:bdr w:val="single" w:color="DEDFDE" w:sz="6" w:space="0"/>
    </w:rPr>
  </w:style>
  <w:style w:type="character" w:customStyle="1" w:styleId="27">
    <w:name w:val="dots"/>
    <w:basedOn w:val="7"/>
    <w:qFormat/>
    <w:uiPriority w:val="0"/>
    <w:rPr>
      <w:color w:val="666666"/>
      <w:sz w:val="18"/>
      <w:szCs w:val="18"/>
      <w:u w:val="none"/>
      <w:bdr w:val="single" w:color="DEDFDE" w:sz="6" w:space="0"/>
    </w:rPr>
  </w:style>
  <w:style w:type="character" w:customStyle="1" w:styleId="28">
    <w:name w:val="hover42"/>
    <w:basedOn w:val="7"/>
    <w:qFormat/>
    <w:uiPriority w:val="0"/>
    <w:rPr>
      <w:shd w:val="clear" w:color="auto" w:fill="000000"/>
    </w:rPr>
  </w:style>
  <w:style w:type="character" w:customStyle="1" w:styleId="29">
    <w:name w:val="font41"/>
    <w:basedOn w:val="7"/>
    <w:qFormat/>
    <w:uiPriority w:val="0"/>
    <w:rPr>
      <w:rFonts w:ascii="宋体" w:hAnsi="宋体" w:eastAsia="宋体" w:cs="宋体"/>
      <w:b/>
      <w:color w:val="000000"/>
      <w:sz w:val="22"/>
      <w:szCs w:val="22"/>
      <w:u w:val="none"/>
    </w:rPr>
  </w:style>
  <w:style w:type="character" w:customStyle="1" w:styleId="30">
    <w:name w:val="font71"/>
    <w:basedOn w:val="7"/>
    <w:qFormat/>
    <w:uiPriority w:val="0"/>
    <w:rPr>
      <w:rFonts w:ascii="宋体" w:hAnsi="宋体" w:eastAsia="宋体" w:cs="宋体"/>
      <w:b/>
      <w:color w:val="000000"/>
      <w:sz w:val="22"/>
      <w:szCs w:val="22"/>
      <w:u w:val="none"/>
    </w:rPr>
  </w:style>
  <w:style w:type="character" w:customStyle="1" w:styleId="31">
    <w:name w:val="font01"/>
    <w:basedOn w:val="7"/>
    <w:qFormat/>
    <w:uiPriority w:val="0"/>
    <w:rPr>
      <w:rFonts w:ascii="Calibri" w:hAnsi="Calibri" w:cs="Calibri"/>
      <w:color w:val="000000"/>
      <w:sz w:val="22"/>
      <w:szCs w:val="22"/>
      <w:u w:val="none"/>
    </w:rPr>
  </w:style>
  <w:style w:type="paragraph" w:styleId="32">
    <w:name w:val="List Paragraph"/>
    <w:basedOn w:val="1"/>
    <w:unhideWhenUsed/>
    <w:qFormat/>
    <w:uiPriority w:val="99"/>
    <w:pPr>
      <w:ind w:firstLine="420" w:firstLineChars="200"/>
    </w:pPr>
  </w:style>
  <w:style w:type="character" w:customStyle="1" w:styleId="33">
    <w:name w:val="页眉 Char"/>
    <w:basedOn w:val="7"/>
    <w:link w:val="3"/>
    <w:qFormat/>
    <w:uiPriority w:val="0"/>
    <w:rPr>
      <w:rFonts w:ascii="Calibri" w:hAnsi="Calibri"/>
      <w:kern w:val="2"/>
      <w:sz w:val="18"/>
      <w:szCs w:val="18"/>
    </w:rPr>
  </w:style>
  <w:style w:type="character" w:customStyle="1" w:styleId="34">
    <w:name w:val="页脚 Char"/>
    <w:basedOn w:val="7"/>
    <w:link w:val="2"/>
    <w:qFormat/>
    <w:uiPriority w:val="99"/>
    <w:rPr>
      <w:rFonts w:ascii="Calibri" w:hAnsi="Calibri"/>
      <w:kern w:val="2"/>
      <w:sz w:val="18"/>
      <w:szCs w:val="18"/>
    </w:rPr>
  </w:style>
  <w:style w:type="paragraph" w:customStyle="1" w:styleId="35">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杭州师范大学</Company>
  <Pages>21</Pages>
  <Words>1592</Words>
  <Characters>9078</Characters>
  <Lines>75</Lines>
  <Paragraphs>21</Paragraphs>
  <TotalTime>1</TotalTime>
  <ScaleCrop>false</ScaleCrop>
  <LinksUpToDate>false</LinksUpToDate>
  <CharactersWithSpaces>10649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2019-10-13T01:46:00Z</dcterms:created>
  <dc:creator>Administrator</dc:creator>
  <cp:lastModifiedBy>韩振宇</cp:lastModifiedBy>
  <dcterms:modified xsi:type="dcterms:W3CDTF">2019-10-31T00:22:47Z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